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027C1964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7979C3">
        <w:rPr>
          <w:b/>
        </w:rPr>
        <w:t>Sylwia Kalinowska Gmina Piaseczno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143F77">
        <w:trPr>
          <w:trHeight w:val="699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77777777" w:rsidR="003E3E21" w:rsidRDefault="003E3E21" w:rsidP="002F2903"/>
        </w:tc>
        <w:tc>
          <w:tcPr>
            <w:tcW w:w="10920" w:type="dxa"/>
          </w:tcPr>
          <w:p w14:paraId="6B694D7A" w14:textId="61ED6C98" w:rsidR="002F7738" w:rsidRDefault="00A14D35" w:rsidP="002F2903">
            <w:pPr>
              <w:pStyle w:val="Akapitzlist"/>
              <w:numPr>
                <w:ilvl w:val="0"/>
                <w:numId w:val="1"/>
              </w:numPr>
            </w:pPr>
            <w:r>
              <w:t>Podstawowym założeniem do PUL, jeśli mowa o</w:t>
            </w:r>
            <w:r w:rsidR="007979C3">
              <w:t xml:space="preserve"> odbudowie siedlisk wymienionych w zał. I dyrektywy siedliskowej powinna być odbudowa w miarę możliwości warunków abiotycznych (hydrologicznych) – przebudowa drzewostanów jest tylko jednym z elementów odbudowy siedlisk, o której mowa w art. 4 NRL, co więcej ta przebudowa ma mniejsze szanse na powodzenie bez odbudowy warunków hydrologicznych.  </w:t>
            </w:r>
            <w:r>
              <w:t xml:space="preserve"> </w:t>
            </w:r>
            <w:r w:rsidR="002F7738">
              <w:t>Jednocześnie przygotowując PUL należy uwzględnić obniżoną udatność nowych nasadzeń, w związku z obecnym i prognozowanym zjawiskiem suszy.</w:t>
            </w:r>
          </w:p>
          <w:p w14:paraId="1B0959CC" w14:textId="5CCD81A1" w:rsidR="00220DAE" w:rsidRDefault="00D76B65" w:rsidP="002F2903">
            <w:pPr>
              <w:pStyle w:val="Akapitzlist"/>
              <w:numPr>
                <w:ilvl w:val="0"/>
                <w:numId w:val="1"/>
              </w:numPr>
            </w:pPr>
            <w:r>
              <w:t>Dla gminy Piaseczno wątpliwa jest możliwość wskazania odrębnie</w:t>
            </w:r>
            <w:r w:rsidR="00E85E0A">
              <w:t xml:space="preserve"> gospodarstwa</w:t>
            </w:r>
            <w:r>
              <w:t xml:space="preserve"> lasów oddziaływania społecznego i </w:t>
            </w:r>
            <w:r w:rsidR="00E85E0A">
              <w:t xml:space="preserve">gospodarstw </w:t>
            </w:r>
            <w:r>
              <w:t xml:space="preserve">odbudowy lasów niestabilnych. Wydaje się, że te dwa gospodarstwa będą się </w:t>
            </w:r>
            <w:r w:rsidR="00E85E0A">
              <w:t xml:space="preserve">w dużej części </w:t>
            </w:r>
            <w:r>
              <w:t xml:space="preserve">pokrywać powierzchniowo. </w:t>
            </w:r>
            <w:r w:rsidR="00220DAE">
              <w:t>Z</w:t>
            </w:r>
            <w:r>
              <w:t xml:space="preserve"> połączenia tych dwóch wynika konieczność stopniowej przebudowy i odbudowy drzewostanu, jednak nie może się to odbywać w sposób gwałtowny. </w:t>
            </w:r>
          </w:p>
          <w:p w14:paraId="19B40192" w14:textId="5246B04F" w:rsidR="00E85E0A" w:rsidRDefault="004F7CEA" w:rsidP="002F2903">
            <w:pPr>
              <w:pStyle w:val="Akapitzlist"/>
              <w:numPr>
                <w:ilvl w:val="0"/>
                <w:numId w:val="1"/>
              </w:numPr>
            </w:pPr>
            <w:r>
              <w:t>D</w:t>
            </w:r>
            <w:r w:rsidR="00226048">
              <w:t>rzewostany</w:t>
            </w:r>
            <w:r w:rsidR="00D76B65">
              <w:t xml:space="preserve"> charakteryzujące się zgodnością w siedliskiem powinny być zaliczone do gospodarstwa specjalnego, w którym wiodąca jest ochrona przyrody, co jest tym bardziej uzasadnione, że udział rezerwatów przyrody w powierzchni Nadleśnictwa jest mały</w:t>
            </w:r>
            <w:r w:rsidR="00E85E0A">
              <w:t xml:space="preserve"> (310,90 ha, czyli ok. 3%)</w:t>
            </w:r>
            <w:r w:rsidR="00226048">
              <w:t>, niemniej zaliczenie do takiego gospodarstwa nie musi oznaczać ochrony w standardzie rezerwatu, przede wszystkim powinno oznaczać co do zasady możliwość wstępu do lasu, a zakaz wstępu byłby przewidziany tylko dla sytuacji szczególnych.</w:t>
            </w:r>
            <w:r w:rsidR="00E85E0A">
              <w:t xml:space="preserve"> </w:t>
            </w:r>
            <w:r w:rsidR="00226048">
              <w:t>Tym samym oznaczałoby to również możliwość wykonywania cięć sanitarnych.</w:t>
            </w:r>
          </w:p>
          <w:p w14:paraId="256A89AF" w14:textId="645B04A8" w:rsidR="00220DAE" w:rsidRDefault="00220DAE" w:rsidP="002F2903">
            <w:pPr>
              <w:pStyle w:val="Akapitzlist"/>
              <w:numPr>
                <w:ilvl w:val="0"/>
                <w:numId w:val="1"/>
              </w:numPr>
            </w:pPr>
            <w:r>
              <w:t>Gmina Piaseczno wnioskuje, by do gospodarstwa specjalnego o wiodącej funkcji przyrodniczej dodać także tereny planowanych użytków ekologicznych lub w inny sposób zapewnić możliwość włączenia ich do tego gospodarstwa w trakcie obowiązywania PUL.</w:t>
            </w:r>
          </w:p>
          <w:p w14:paraId="04032F17" w14:textId="77777777" w:rsidR="00364F28" w:rsidRDefault="00E85E0A" w:rsidP="002F2903">
            <w:pPr>
              <w:pStyle w:val="Akapitzlist"/>
              <w:numPr>
                <w:ilvl w:val="0"/>
                <w:numId w:val="1"/>
              </w:numPr>
            </w:pPr>
            <w:r>
              <w:t>Wytyczne NRL, są szczególną okazją do zwiększania łączności obszarów leśnych</w:t>
            </w:r>
            <w:r w:rsidR="00220DAE">
              <w:t xml:space="preserve"> (co w NCH ma szczególne znaczenie ze względu na brak dużych zwartych kompleksów)</w:t>
            </w:r>
            <w:r>
              <w:t xml:space="preserve"> st</w:t>
            </w:r>
            <w:r w:rsidR="00220DAE">
              <w:t>ąd</w:t>
            </w:r>
            <w:r>
              <w:t xml:space="preserve"> oczekiwanie, by</w:t>
            </w:r>
            <w:r w:rsidR="00220DAE">
              <w:t xml:space="preserve"> nadanie wysokiej rangi temu zagadnieniu było jednym z założeń do PUL. </w:t>
            </w:r>
          </w:p>
          <w:p w14:paraId="3DB84A68" w14:textId="2D79DB05" w:rsidR="00364F28" w:rsidRDefault="00364F28" w:rsidP="00364F28">
            <w:pPr>
              <w:pStyle w:val="Akapitzlist"/>
              <w:numPr>
                <w:ilvl w:val="0"/>
                <w:numId w:val="1"/>
              </w:numPr>
            </w:pPr>
            <w:r>
              <w:t xml:space="preserve">Wątpliwość budzi zaproponowane w założeniach do PUL ulokowanie obiektu </w:t>
            </w:r>
            <w:r w:rsidRPr="00364F28">
              <w:t xml:space="preserve">wypoczynkowego „Ośrodek Wisła” </w:t>
            </w:r>
            <w:r>
              <w:t xml:space="preserve">oraz </w:t>
            </w:r>
            <w:r w:rsidRPr="00364F28">
              <w:t xml:space="preserve">obiektu „Zimne Doły” do parkingu AUL </w:t>
            </w:r>
            <w:r>
              <w:t>do kategorii gospodarstwa specjalnego – wydaje się, że to gospodarstwo zwiększonego odziaływania społecznego. Nie jest jasne, czym to gospodarstwo specjalne</w:t>
            </w:r>
            <w:r w:rsidR="00581518">
              <w:t>, de facto</w:t>
            </w:r>
            <w:r>
              <w:t xml:space="preserve"> o wiodącej funkcji rekreacyjnej miałoby się różnić od gospodarstwa lasów zwiększonego odziaływania społecznego. </w:t>
            </w:r>
          </w:p>
          <w:p w14:paraId="042A533E" w14:textId="0E6B9417" w:rsidR="003E3E21" w:rsidRDefault="00581518" w:rsidP="00143F77">
            <w:pPr>
              <w:pStyle w:val="Akapitzlist"/>
              <w:numPr>
                <w:ilvl w:val="0"/>
                <w:numId w:val="1"/>
              </w:numPr>
            </w:pPr>
            <w:r>
              <w:t xml:space="preserve">Wskazana w założeniach do PUL definicja gospodarstwa </w:t>
            </w:r>
            <w:r w:rsidR="00B208E7">
              <w:t xml:space="preserve">lasów </w:t>
            </w:r>
            <w:r>
              <w:t>odziaływania społecznego jako lasu, który w głównej mierze ma spełniać potrzeby społeczne jest kolejną strukturą oprócz „lasów o wiodącej funkcji społecznej” oraz lasów o zwiększonej funkcji społecznej, która z założenia nie może być przydatna w porządkowaniu zarządzania lasami, bowiem funkcje czy potrzeby społeczne są niesłusznie mylone z potrzebami rekreacyjnymi</w:t>
            </w:r>
            <w:r w:rsidR="00143F77">
              <w:t xml:space="preserve"> i zdrowotnymi</w:t>
            </w:r>
            <w:r>
              <w:t>. Dlatego w założeniach do PUL, jak i w równoległych procesach należy pojęcia dotyczące funkcji czy potrzeb określanych dotychczas jako „społeczne” zastępować pojęciem „rekreacyjne</w:t>
            </w:r>
            <w:r w:rsidR="004F7CEA">
              <w:t xml:space="preserve">, </w:t>
            </w:r>
            <w:r w:rsidR="004F7CEA">
              <w:lastRenderedPageBreak/>
              <w:t>zdrowotne</w:t>
            </w:r>
            <w:r>
              <w:t xml:space="preserve">”. Wszystkie funkcje lasów, w tym tak skrajnie różne jak gospodarcze i przyrodnicze, są w istocie potrzebami społecznymi.   </w:t>
            </w:r>
          </w:p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lastRenderedPageBreak/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7777777" w:rsidR="003E3E21" w:rsidRDefault="003E3E21" w:rsidP="002F2903"/>
        </w:tc>
        <w:tc>
          <w:tcPr>
            <w:tcW w:w="10920" w:type="dxa"/>
          </w:tcPr>
          <w:p w14:paraId="5D79DC62" w14:textId="0D673F10" w:rsidR="00436EF3" w:rsidRDefault="00436EF3" w:rsidP="002F2903">
            <w:r>
              <w:t xml:space="preserve">W założeniach do PUL należy przyjąć, że wszystkie lasy w Gminie Piaseczno są lasami o szczególnym znaczeniu dla lokalnej społeczności, </w:t>
            </w:r>
            <w:r w:rsidR="002336D6">
              <w:t>jako podstawa dobrostanu</w:t>
            </w:r>
            <w:r w:rsidR="004F7CEA">
              <w:t xml:space="preserve"> mieszkańców</w:t>
            </w:r>
            <w:r w:rsidR="002336D6">
              <w:t>. Z</w:t>
            </w:r>
            <w:r>
              <w:t>e względu na:</w:t>
            </w:r>
          </w:p>
          <w:p w14:paraId="2A159159" w14:textId="189E676A" w:rsidR="00436EF3" w:rsidRDefault="00436EF3" w:rsidP="002F2903">
            <w:r>
              <w:t xml:space="preserve">- dużą gęstość zaludnienia w gminie, </w:t>
            </w:r>
          </w:p>
          <w:p w14:paraId="397B4DF6" w14:textId="425C6583" w:rsidR="00436EF3" w:rsidRDefault="00436EF3" w:rsidP="002F2903">
            <w:r>
              <w:t>- problem</w:t>
            </w:r>
            <w:r w:rsidR="002336D6">
              <w:t xml:space="preserve"> </w:t>
            </w:r>
            <w:r>
              <w:t xml:space="preserve">suszy oraz </w:t>
            </w:r>
          </w:p>
          <w:p w14:paraId="35B2AF5F" w14:textId="284EFCF8" w:rsidR="00436EF3" w:rsidRDefault="00436EF3" w:rsidP="002F2903">
            <w:r>
              <w:t>- ogromną presję na zasoby przyrodnicze</w:t>
            </w:r>
          </w:p>
          <w:p w14:paraId="23C05A0F" w14:textId="145ADCF0" w:rsidR="00436EF3" w:rsidRDefault="00A436BD" w:rsidP="002F2903">
            <w:r>
              <w:t>Dla utrzymania znaczenia lasów jako podstawy dobrostanu mieszkańców konieczne jest</w:t>
            </w:r>
            <w:r w:rsidR="002336D6">
              <w:t>:</w:t>
            </w:r>
          </w:p>
          <w:p w14:paraId="0A35BBA4" w14:textId="7CDA8C8B" w:rsidR="00436EF3" w:rsidRDefault="00436EF3" w:rsidP="002F2903">
            <w:r>
              <w:t>- prowadz</w:t>
            </w:r>
            <w:r w:rsidR="002336D6">
              <w:t>enie</w:t>
            </w:r>
            <w:r>
              <w:t xml:space="preserve"> działań w lesie tak, by znacząco zwiększać w ich obrębie </w:t>
            </w:r>
            <w:r w:rsidR="00B208E7">
              <w:t xml:space="preserve">skuteczność ochrony przyrody i </w:t>
            </w:r>
            <w:r>
              <w:t>bioróżnorodność</w:t>
            </w:r>
            <w:r w:rsidR="002336D6">
              <w:t xml:space="preserve"> w stosunku do stanu obecnego</w:t>
            </w:r>
            <w:r>
              <w:t>;</w:t>
            </w:r>
          </w:p>
          <w:p w14:paraId="41EC68C1" w14:textId="14167F3F" w:rsidR="002336D6" w:rsidRDefault="00436EF3" w:rsidP="002F2903">
            <w:r>
              <w:t>- zwiększ</w:t>
            </w:r>
            <w:r w:rsidR="002336D6">
              <w:t>a</w:t>
            </w:r>
            <w:r w:rsidR="00A436BD">
              <w:t>ć</w:t>
            </w:r>
            <w:r>
              <w:t xml:space="preserve"> potencjał</w:t>
            </w:r>
            <w:r w:rsidR="00A436BD">
              <w:t xml:space="preserve"> lasu</w:t>
            </w:r>
            <w:r>
              <w:t xml:space="preserve"> do retencjonowani</w:t>
            </w:r>
            <w:r w:rsidR="002336D6">
              <w:t>a</w:t>
            </w:r>
            <w:r>
              <w:t xml:space="preserve"> wody, niwelowa</w:t>
            </w:r>
            <w:r w:rsidR="002336D6">
              <w:t xml:space="preserve">nia </w:t>
            </w:r>
            <w:r>
              <w:t>efektu miejskiej wyspy ciepła w sąsiedztwie miasta</w:t>
            </w:r>
            <w:r w:rsidR="002336D6">
              <w:t>, oczyszczania powietrza</w:t>
            </w:r>
          </w:p>
          <w:p w14:paraId="3362C0FF" w14:textId="6022495B" w:rsidR="002336D6" w:rsidRDefault="002336D6" w:rsidP="002F2903">
            <w:r>
              <w:t>- zapewni</w:t>
            </w:r>
            <w:r w:rsidR="00A436BD">
              <w:t>ać</w:t>
            </w:r>
            <w:r>
              <w:t xml:space="preserve"> warunk</w:t>
            </w:r>
            <w:r w:rsidR="00A436BD">
              <w:t>i</w:t>
            </w:r>
            <w:r>
              <w:t xml:space="preserve"> do rekreacji</w:t>
            </w:r>
            <w:r w:rsidR="00A436BD">
              <w:t>, w tym tam gdzie nie stoi to w sprzeczności z ochroną przyrody – z możliwością wstępu do lasu.</w:t>
            </w:r>
          </w:p>
          <w:p w14:paraId="7C8E6CDE" w14:textId="10DF4337" w:rsidR="003E3E21" w:rsidRDefault="009B15A7" w:rsidP="009B15A7">
            <w:r>
              <w:t>Należy podkreślić, że faworyzowana funkcja przyrodnicza</w:t>
            </w:r>
            <w:r w:rsidR="00330A8F">
              <w:t xml:space="preserve"> </w:t>
            </w:r>
            <w:r>
              <w:t xml:space="preserve">zwiększa </w:t>
            </w:r>
            <w:r w:rsidR="00330A8F">
              <w:t xml:space="preserve">zarazem </w:t>
            </w:r>
            <w:r>
              <w:t>walory rekreacyjne i nie stoi z nimi w sprzeczności. Oznacza to możliwość korzystania z runa leśnego, wchodzenia do lasu, a jednocześnie wskazuje na konieczność ograniczenia znaczenia tzw. wieku rębnego</w:t>
            </w:r>
            <w:r w:rsidR="00330A8F">
              <w:t xml:space="preserve"> - t</w:t>
            </w:r>
            <w:r>
              <w:t>o drzewa najstarsze i najcenniejsze wraz z biogrupami powinny podlegać</w:t>
            </w:r>
            <w:r w:rsidR="00C000DD">
              <w:t xml:space="preserve"> </w:t>
            </w:r>
            <w:r>
              <w:t>ochronie</w:t>
            </w:r>
            <w:r w:rsidR="00C000DD">
              <w:t xml:space="preserve"> przed usuwaniem. </w:t>
            </w:r>
          </w:p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A436BD">
        <w:trPr>
          <w:trHeight w:val="1592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777777" w:rsidR="0089780C" w:rsidRDefault="0089780C" w:rsidP="00603CAD"/>
        </w:tc>
        <w:tc>
          <w:tcPr>
            <w:tcW w:w="10920" w:type="dxa"/>
          </w:tcPr>
          <w:p w14:paraId="46805525" w14:textId="35D200E2" w:rsidR="0089780C" w:rsidRDefault="008A2EE9" w:rsidP="00603CAD">
            <w:r>
              <w:t xml:space="preserve">Do rozważenia wiaty </w:t>
            </w:r>
            <w:r w:rsidR="00A436BD">
              <w:t xml:space="preserve">i  </w:t>
            </w:r>
            <w:r w:rsidR="00A436BD">
              <w:t>miejsca na ogniska</w:t>
            </w:r>
            <w:r w:rsidR="00A436BD">
              <w:t xml:space="preserve"> </w:t>
            </w:r>
            <w:r>
              <w:t xml:space="preserve">na terenie dawnego ośrodka </w:t>
            </w:r>
            <w:r w:rsidR="002F7738">
              <w:t>„</w:t>
            </w:r>
            <w:r>
              <w:t>Wisła</w:t>
            </w:r>
            <w:r w:rsidR="002F7738">
              <w:t>”</w:t>
            </w:r>
            <w:r>
              <w:t>, jeżeli to możliwe w obowiązującym stanie prawnym i stanie posiadania (obowiązująca umowa dzierżawy).</w:t>
            </w:r>
          </w:p>
          <w:p w14:paraId="66138380" w14:textId="53A34C73" w:rsidR="008A2EE9" w:rsidRDefault="008A2EE9" w:rsidP="00603CAD">
            <w:r>
              <w:t xml:space="preserve"> </w:t>
            </w:r>
          </w:p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7777777" w:rsidR="0089780C" w:rsidRDefault="0089780C" w:rsidP="00603CAD"/>
        </w:tc>
        <w:tc>
          <w:tcPr>
            <w:tcW w:w="10920" w:type="dxa"/>
          </w:tcPr>
          <w:p w14:paraId="1A49D231" w14:textId="77777777" w:rsidR="003761C6" w:rsidRDefault="00931B34" w:rsidP="00603CAD">
            <w:r>
              <w:t>Lasy wokół miasta Piaseczn</w:t>
            </w:r>
            <w:r w:rsidR="00E1481B">
              <w:t>a</w:t>
            </w:r>
            <w:r>
              <w:t xml:space="preserve"> powinny jak najszybciej uzyskać kategorię lasów ochronnych wokół miast wg. </w:t>
            </w:r>
            <w:r w:rsidR="00E1481B">
              <w:t>R</w:t>
            </w:r>
            <w:r w:rsidR="00E1481B" w:rsidRPr="00E1481B">
              <w:t>ozporządzeni</w:t>
            </w:r>
            <w:r w:rsidR="00E1481B">
              <w:t>a</w:t>
            </w:r>
            <w:r w:rsidR="00E1481B" w:rsidRPr="00E1481B">
              <w:t xml:space="preserve"> Ministra Ochrony Środowiska, Zasobów Naturalnych i Leśnictwa z dnia 25 sierpnia 1992</w:t>
            </w:r>
            <w:r w:rsidR="00E1481B">
              <w:t>. Liczba mieszkańców miasta przekroczyła wg. danych GUS 50 tys.</w:t>
            </w:r>
            <w:r w:rsidR="00772F22">
              <w:t xml:space="preserve"> </w:t>
            </w:r>
          </w:p>
          <w:p w14:paraId="1C8B2D65" w14:textId="5D2BDDC2" w:rsidR="00EB4AC0" w:rsidRDefault="003761C6" w:rsidP="00603CAD">
            <w:hyperlink r:id="rId7" w:history="1">
              <w:r w:rsidRPr="00037865">
                <w:rPr>
                  <w:rStyle w:val="Hipercze"/>
                </w:rPr>
                <w:t>https://bdl.stat.gov.pl/bdl/dane/podgrup/tablica</w:t>
              </w:r>
            </w:hyperlink>
            <w:r w:rsidR="00EB4AC0">
              <w:t>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8"/>
              <w:gridCol w:w="620"/>
              <w:gridCol w:w="6022"/>
            </w:tblGrid>
            <w:tr w:rsidR="00EB4AC0" w14:paraId="4D2773B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BE9A16C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Kategoria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E26CD2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K3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75A428" w14:textId="466F81E6" w:rsidR="00EB4AC0" w:rsidRDefault="00EB4AC0" w:rsidP="007979C3">
                  <w:pPr>
                    <w:framePr w:hSpace="141" w:wrap="around" w:vAnchor="text" w:hAnchor="margin" w:y="-45"/>
                  </w:pPr>
                  <w:hyperlink r:id="rId8" w:history="1">
                    <w:r>
                      <w:rPr>
                        <w:rStyle w:val="Hipercze"/>
                      </w:rPr>
                      <w:t>LUDNOŚĆ</w:t>
                    </w:r>
                  </w:hyperlink>
                  <w:r>
                    <w:t xml:space="preserve"> </w:t>
                  </w:r>
                  <w:r>
                    <w:rPr>
                      <w:noProof/>
                      <w:color w:val="0000FF"/>
                    </w:rPr>
                    <w:drawing>
                      <wp:inline distT="0" distB="0" distL="0" distR="0" wp14:anchorId="2259341D" wp14:editId="19A412BC">
                        <wp:extent cx="152400" cy="152400"/>
                        <wp:effectExtent l="0" t="0" r="0" b="0"/>
                        <wp:docPr id="410903353" name="Obraz 2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4AC0" w14:paraId="2713535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8EFD82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Grupa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A04FBF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G7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204567" w14:textId="2BE3D66E" w:rsidR="00EB4AC0" w:rsidRDefault="00EB4AC0" w:rsidP="007979C3">
                  <w:pPr>
                    <w:framePr w:hSpace="141" w:wrap="around" w:vAnchor="text" w:hAnchor="margin" w:y="-45"/>
                  </w:pPr>
                  <w:hyperlink r:id="rId11" w:history="1">
                    <w:r>
                      <w:rPr>
                        <w:rStyle w:val="Hipercze"/>
                      </w:rPr>
                      <w:t>STAN LUDNOŚCI</w:t>
                    </w:r>
                  </w:hyperlink>
                  <w:r>
                    <w:t xml:space="preserve"> </w:t>
                  </w:r>
                  <w:r>
                    <w:rPr>
                      <w:noProof/>
                      <w:color w:val="0000FF"/>
                    </w:rPr>
                    <w:drawing>
                      <wp:inline distT="0" distB="0" distL="0" distR="0" wp14:anchorId="53310DC2" wp14:editId="2E5271C8">
                        <wp:extent cx="152400" cy="152400"/>
                        <wp:effectExtent l="0" t="0" r="0" b="0"/>
                        <wp:docPr id="734655329" name="Obraz 1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B4AC0" w14:paraId="07E426A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71F38C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Podgrupa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9916C1" w14:textId="77777777" w:rsidR="00EB4AC0" w:rsidRDefault="00EB4AC0" w:rsidP="007979C3">
                  <w:pPr>
                    <w:framePr w:hSpace="141" w:wrap="around" w:vAnchor="text" w:hAnchor="margin" w:y="-45"/>
                  </w:pPr>
                  <w:r>
                    <w:t>P1336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ABC3D" w14:textId="77777777" w:rsidR="00EB4AC0" w:rsidRDefault="00EB4AC0" w:rsidP="007979C3">
                  <w:pPr>
                    <w:framePr w:hSpace="141" w:wrap="around" w:vAnchor="text" w:hAnchor="margin" w:y="-45"/>
                  </w:pPr>
                  <w:hyperlink r:id="rId12" w:history="1">
                    <w:r>
                      <w:rPr>
                        <w:rStyle w:val="Hipercze"/>
                      </w:rPr>
                      <w:t>Ludność wg miejsca zamieszkania i płci w podziale na miasto i wieś</w:t>
                    </w:r>
                  </w:hyperlink>
                </w:p>
              </w:tc>
            </w:tr>
          </w:tbl>
          <w:p w14:paraId="601052AB" w14:textId="627B4F73" w:rsidR="003761C6" w:rsidRDefault="003761C6" w:rsidP="00603CAD">
            <w:r w:rsidRPr="003761C6">
              <w:t>51</w:t>
            </w:r>
            <w:r>
              <w:t> </w:t>
            </w:r>
            <w:r w:rsidRPr="003761C6">
              <w:t>678</w:t>
            </w:r>
            <w:r>
              <w:t xml:space="preserve"> osób - stan na 31.12.2024 r.</w:t>
            </w:r>
          </w:p>
          <w:p w14:paraId="60B8C873" w14:textId="1E9CEE52" w:rsidR="003761C6" w:rsidRDefault="003761C6" w:rsidP="00603CAD">
            <w:r w:rsidRPr="003761C6">
              <w:t>51</w:t>
            </w:r>
            <w:r>
              <w:t> </w:t>
            </w:r>
            <w:r w:rsidRPr="003761C6">
              <w:t>971</w:t>
            </w:r>
            <w:r>
              <w:t xml:space="preserve"> osób -  stan na 31.12.2023 r. </w:t>
            </w:r>
          </w:p>
          <w:p w14:paraId="3E268946" w14:textId="77777777" w:rsidR="003761C6" w:rsidRDefault="003761C6" w:rsidP="00603CAD"/>
          <w:p w14:paraId="43545F07" w14:textId="1D115CEC" w:rsidR="00834F61" w:rsidRDefault="00772F22" w:rsidP="00603CAD">
            <w:r>
              <w:t>Wnioskuję o zaproponowanie przez LP rozwiązania, które pozwoli uwzględnić t</w:t>
            </w:r>
            <w:r w:rsidR="00834F61">
              <w:t>ę</w:t>
            </w:r>
            <w:r>
              <w:t xml:space="preserve"> kategorię lasów w przygotowywanym PUL </w:t>
            </w:r>
            <w:r w:rsidR="00834F61">
              <w:t>i</w:t>
            </w:r>
            <w:r>
              <w:t xml:space="preserve"> zapewni możliwość dostosowania prowadz</w:t>
            </w:r>
            <w:r w:rsidR="00834F61">
              <w:t>o</w:t>
            </w:r>
            <w:r>
              <w:t>nych działań w lesie od razu po zatwierdzeniu tych lasów jako ochronnych. Nie akceptowalna bowiem byłaby sytuacja, w której sposób gospodarowania prze</w:t>
            </w:r>
            <w:r w:rsidR="006B7533">
              <w:t xml:space="preserve">widziany dla lasów ochronnych wokół miast, byłby wdrażany dopiero w kolejnym PUL. </w:t>
            </w:r>
          </w:p>
          <w:p w14:paraId="4FA79CE7" w14:textId="77777777" w:rsidR="00834F61" w:rsidRDefault="00834F61" w:rsidP="00603CAD">
            <w:r>
              <w:t xml:space="preserve">Dlatego też w nowym PUL powinna być uwzględniona taka kategoria lasów, wraz ze wskazaniami dotyczącymi dopuszczalnych w nich zabiegów. </w:t>
            </w:r>
            <w:r w:rsidR="006B7533">
              <w:t xml:space="preserve"> </w:t>
            </w:r>
          </w:p>
          <w:p w14:paraId="3A2A11F5" w14:textId="0426886A" w:rsidR="0089780C" w:rsidRDefault="00834F61" w:rsidP="00603CAD">
            <w:r>
              <w:t>Lasy ochronne wokół miast, jak i lasy o wiodącej funkcji społecznej, czy też lasy zwiększonej funkcji społecznej</w:t>
            </w:r>
            <w:r w:rsidR="00143F77">
              <w:t xml:space="preserve"> bądź lasy zwiększonego oddziaływania społecznego</w:t>
            </w:r>
            <w:r>
              <w:t xml:space="preserve"> to kategorie lasów, które co najmniej w części się nakładają </w:t>
            </w:r>
            <w:r w:rsidR="001273D6">
              <w:t xml:space="preserve">zarówno </w:t>
            </w:r>
            <w:r>
              <w:t>powierzchniowo</w:t>
            </w:r>
            <w:r w:rsidR="001273D6">
              <w:t>, jak i pod względem pełnionej funkcji</w:t>
            </w:r>
            <w:r>
              <w:t xml:space="preserve">. </w:t>
            </w:r>
            <w:r w:rsidR="001273D6">
              <w:t xml:space="preserve">Dlatego niezależnie od docelowego stanu prawnego, który pozostaje aktualnie niejasny i nieuporządkowany, powinny one realizować wskazane w pkt. 2 priorytety.  </w:t>
            </w:r>
            <w:r>
              <w:t xml:space="preserve"> </w:t>
            </w:r>
            <w:r w:rsidR="00772F22">
              <w:t xml:space="preserve">  </w:t>
            </w:r>
            <w:r w:rsidR="00E1481B">
              <w:t xml:space="preserve"> </w:t>
            </w:r>
          </w:p>
        </w:tc>
      </w:tr>
    </w:tbl>
    <w:p w14:paraId="3C4BC55F" w14:textId="77777777" w:rsidR="00D15E91" w:rsidRDefault="00D15E91" w:rsidP="00D15E91"/>
    <w:sectPr w:rsidR="00D15E91" w:rsidSect="00D15E91"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C3A7" w14:textId="77777777" w:rsidR="00727A34" w:rsidRDefault="00727A34" w:rsidP="00CC7BB0">
      <w:pPr>
        <w:spacing w:after="0" w:line="240" w:lineRule="auto"/>
      </w:pPr>
      <w:r>
        <w:separator/>
      </w:r>
    </w:p>
  </w:endnote>
  <w:endnote w:type="continuationSeparator" w:id="0">
    <w:p w14:paraId="4D1939EE" w14:textId="77777777" w:rsidR="00727A34" w:rsidRDefault="00727A34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4854" w14:textId="3C009A53" w:rsidR="00CC7BB0" w:rsidRDefault="00CC7BB0" w:rsidP="00946319">
    <w:pPr>
      <w:pStyle w:val="Stopka"/>
      <w:jc w:val="center"/>
    </w:pPr>
    <w:hyperlink r:id="rId1" w:history="1">
      <w:r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>
      <w:tab/>
    </w:r>
    <w:r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FCAA" w14:textId="77777777" w:rsidR="00727A34" w:rsidRDefault="00727A34" w:rsidP="00CC7BB0">
      <w:pPr>
        <w:spacing w:after="0" w:line="240" w:lineRule="auto"/>
      </w:pPr>
      <w:r>
        <w:separator/>
      </w:r>
    </w:p>
  </w:footnote>
  <w:footnote w:type="continuationSeparator" w:id="0">
    <w:p w14:paraId="3111AC87" w14:textId="77777777" w:rsidR="00727A34" w:rsidRDefault="00727A34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7601"/>
    <w:multiLevelType w:val="hybridMultilevel"/>
    <w:tmpl w:val="FEAEF4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26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978EC"/>
    <w:rsid w:val="000A319E"/>
    <w:rsid w:val="001273D6"/>
    <w:rsid w:val="00143F77"/>
    <w:rsid w:val="00171557"/>
    <w:rsid w:val="001B7031"/>
    <w:rsid w:val="00220DAE"/>
    <w:rsid w:val="00226048"/>
    <w:rsid w:val="002336D6"/>
    <w:rsid w:val="002806A1"/>
    <w:rsid w:val="002F7738"/>
    <w:rsid w:val="00320680"/>
    <w:rsid w:val="00321D73"/>
    <w:rsid w:val="00330A8F"/>
    <w:rsid w:val="00351CCC"/>
    <w:rsid w:val="00364F28"/>
    <w:rsid w:val="003761C6"/>
    <w:rsid w:val="003868C2"/>
    <w:rsid w:val="003E3E21"/>
    <w:rsid w:val="003E41F5"/>
    <w:rsid w:val="00436EF3"/>
    <w:rsid w:val="00461314"/>
    <w:rsid w:val="00481984"/>
    <w:rsid w:val="004F7CEA"/>
    <w:rsid w:val="00532433"/>
    <w:rsid w:val="00581518"/>
    <w:rsid w:val="0059374B"/>
    <w:rsid w:val="00603CAD"/>
    <w:rsid w:val="0064228A"/>
    <w:rsid w:val="00673786"/>
    <w:rsid w:val="006B7533"/>
    <w:rsid w:val="00727A34"/>
    <w:rsid w:val="00730F3A"/>
    <w:rsid w:val="0074254F"/>
    <w:rsid w:val="00772F22"/>
    <w:rsid w:val="007979C3"/>
    <w:rsid w:val="007F0A6F"/>
    <w:rsid w:val="008328A4"/>
    <w:rsid w:val="00834F61"/>
    <w:rsid w:val="0089780C"/>
    <w:rsid w:val="008A2EE9"/>
    <w:rsid w:val="00931B34"/>
    <w:rsid w:val="00946319"/>
    <w:rsid w:val="009B15A7"/>
    <w:rsid w:val="00A02EC4"/>
    <w:rsid w:val="00A14D35"/>
    <w:rsid w:val="00A40559"/>
    <w:rsid w:val="00A436BD"/>
    <w:rsid w:val="00B208E7"/>
    <w:rsid w:val="00C000DD"/>
    <w:rsid w:val="00CC29A1"/>
    <w:rsid w:val="00CC7BB0"/>
    <w:rsid w:val="00D15E91"/>
    <w:rsid w:val="00D27812"/>
    <w:rsid w:val="00D76B65"/>
    <w:rsid w:val="00D9499D"/>
    <w:rsid w:val="00DC0C91"/>
    <w:rsid w:val="00E1481B"/>
    <w:rsid w:val="00E85E0A"/>
    <w:rsid w:val="00EB4AC0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61C6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6B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6B6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6B6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20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ctl00$ContentPlaceHolder$legenda$Category','')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dl.stat.gov.pl/bdl/dane/podgrup/tablica" TargetMode="External"/><Relationship Id="rId12" Type="http://schemas.openxmlformats.org/officeDocument/2006/relationships/hyperlink" Target="javascript:__doPostBack('ctl00$ContentPlaceHolder$legenda$Subgroup','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__doPostBack('ctl00$ContentPlaceHolder$legenda$Group','')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bdl.stat.gov.pl/bdl/controls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Sylwia Kalinowska</cp:lastModifiedBy>
  <cp:revision>7</cp:revision>
  <dcterms:created xsi:type="dcterms:W3CDTF">2026-04-13T15:19:00Z</dcterms:created>
  <dcterms:modified xsi:type="dcterms:W3CDTF">2026-04-14T22:16:00Z</dcterms:modified>
</cp:coreProperties>
</file>